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Default="00263A41" w:rsidP="00D80E29">
      <w:pPr>
        <w:pStyle w:val="Default"/>
        <w:spacing w:line="480" w:lineRule="auto"/>
        <w:ind w:firstLine="720"/>
        <w:jc w:val="center"/>
        <w:rPr>
          <w:b/>
        </w:rPr>
      </w:pPr>
    </w:p>
    <w:p w:rsidR="00D80E29" w:rsidRDefault="00D80E29" w:rsidP="00D80E29">
      <w:pPr>
        <w:pStyle w:val="Default"/>
        <w:spacing w:line="480" w:lineRule="auto"/>
        <w:ind w:firstLine="720"/>
        <w:jc w:val="center"/>
        <w:rPr>
          <w:b/>
        </w:rPr>
      </w:pPr>
    </w:p>
    <w:p w:rsidR="00D80E29" w:rsidRDefault="00D80E29" w:rsidP="00D80E29">
      <w:pPr>
        <w:pStyle w:val="Default"/>
        <w:spacing w:line="480" w:lineRule="auto"/>
        <w:ind w:firstLine="720"/>
        <w:jc w:val="center"/>
        <w:rPr>
          <w:b/>
        </w:rPr>
      </w:pPr>
    </w:p>
    <w:p w:rsidR="00D80E29" w:rsidRPr="00D80E29" w:rsidRDefault="00D80E29" w:rsidP="00D80E29">
      <w:pPr>
        <w:pStyle w:val="Default"/>
        <w:spacing w:line="480" w:lineRule="auto"/>
        <w:ind w:firstLine="720"/>
        <w:jc w:val="center"/>
        <w:rPr>
          <w:b/>
        </w:rPr>
      </w:pPr>
    </w:p>
    <w:p w:rsidR="00263A41" w:rsidRDefault="00263A41" w:rsidP="00D80E29">
      <w:pPr>
        <w:pStyle w:val="Default"/>
        <w:spacing w:line="480" w:lineRule="auto"/>
        <w:ind w:firstLine="720"/>
        <w:jc w:val="center"/>
      </w:pPr>
      <w:r w:rsidRPr="00D80E29">
        <w:t>Fundamental healthcare issues affecting the elderly in the society</w:t>
      </w:r>
    </w:p>
    <w:p w:rsidR="00D80E29" w:rsidRPr="00D80E29" w:rsidRDefault="00D80E29" w:rsidP="00D80E29">
      <w:pPr>
        <w:pStyle w:val="Default"/>
        <w:spacing w:line="480" w:lineRule="auto"/>
        <w:ind w:firstLine="720"/>
        <w:jc w:val="center"/>
      </w:pPr>
    </w:p>
    <w:p w:rsidR="00263A41" w:rsidRDefault="00263A41" w:rsidP="00D80E29">
      <w:pPr>
        <w:pStyle w:val="Default"/>
        <w:spacing w:line="480" w:lineRule="auto"/>
        <w:ind w:firstLine="720"/>
        <w:jc w:val="center"/>
      </w:pPr>
      <w:r w:rsidRPr="00D80E29">
        <w:t>Student</w:t>
      </w:r>
      <w:r w:rsidR="00D80E29" w:rsidRPr="00D80E29">
        <w:t>’s Name:</w:t>
      </w:r>
    </w:p>
    <w:p w:rsidR="00D80E29" w:rsidRPr="00D80E29" w:rsidRDefault="00D80E29" w:rsidP="00D80E29">
      <w:pPr>
        <w:pStyle w:val="Default"/>
        <w:spacing w:line="480" w:lineRule="auto"/>
        <w:ind w:firstLine="720"/>
        <w:jc w:val="center"/>
      </w:pPr>
    </w:p>
    <w:p w:rsidR="00D80E29" w:rsidRPr="00D80E29" w:rsidRDefault="00D80E29" w:rsidP="00D80E29">
      <w:pPr>
        <w:pStyle w:val="Default"/>
        <w:spacing w:line="480" w:lineRule="auto"/>
        <w:ind w:firstLine="720"/>
        <w:jc w:val="center"/>
      </w:pPr>
      <w:r w:rsidRPr="00D80E29">
        <w:t>Institutional Affiliation:</w:t>
      </w:r>
    </w:p>
    <w:p w:rsidR="00D80E29" w:rsidRPr="00D80E29" w:rsidRDefault="00D80E29" w:rsidP="00D80E29">
      <w:pPr>
        <w:pStyle w:val="Default"/>
        <w:spacing w:line="480" w:lineRule="auto"/>
        <w:ind w:firstLine="720"/>
        <w:jc w:val="center"/>
      </w:pPr>
    </w:p>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D80E29" w:rsidRDefault="00D80E29"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Default="00263A41" w:rsidP="00263A41">
      <w:pPr>
        <w:pStyle w:val="Default"/>
        <w:spacing w:line="480" w:lineRule="auto"/>
        <w:ind w:firstLine="720"/>
        <w:jc w:val="center"/>
        <w:rPr>
          <w:b/>
        </w:rPr>
      </w:pPr>
    </w:p>
    <w:p w:rsidR="00263A41" w:rsidRPr="00D80E29" w:rsidRDefault="00263A41" w:rsidP="00D80E29">
      <w:pPr>
        <w:pStyle w:val="Default"/>
        <w:spacing w:line="480" w:lineRule="auto"/>
        <w:ind w:firstLine="720"/>
        <w:jc w:val="center"/>
        <w:rPr>
          <w:b/>
        </w:rPr>
      </w:pPr>
      <w:r w:rsidRPr="00D80E29">
        <w:rPr>
          <w:b/>
        </w:rPr>
        <w:lastRenderedPageBreak/>
        <w:t>Fundamental healthcare issues affecting the elderly in the society</w:t>
      </w:r>
    </w:p>
    <w:p w:rsidR="00263A41" w:rsidRPr="00263A41" w:rsidRDefault="00263A41" w:rsidP="00263A41">
      <w:pPr>
        <w:pStyle w:val="Default"/>
        <w:spacing w:line="480" w:lineRule="auto"/>
        <w:ind w:firstLine="720"/>
        <w:jc w:val="center"/>
      </w:pPr>
      <w:r w:rsidRPr="00263A41">
        <w:t>Introduction</w:t>
      </w:r>
    </w:p>
    <w:p w:rsidR="00263A41" w:rsidRPr="00263A41" w:rsidRDefault="00263A41" w:rsidP="00263A41">
      <w:pPr>
        <w:pStyle w:val="Default"/>
        <w:spacing w:line="480" w:lineRule="auto"/>
        <w:ind w:firstLine="720"/>
      </w:pPr>
      <w:r w:rsidRPr="00263A41">
        <w:t>The development of any nation is closely associated with the well-being of its citizens. This has brought most nations to the attention of fundamental healthcare aspects that are in the rise especially on the elderly population over the past few decades. Further the governments of most jurisdictions across the globe have developed robust mechanisms to deal with these alarming trends of healthcare issues affecting the elderly in their respective nations, Furthermore, it is the sole duty of the government to address any negative issues that affect the citizens of that particular nations. This study focuses on a number of healthcare aspects that affect the elderly in our society and models that could adopt in order to effectively address them.</w:t>
      </w:r>
    </w:p>
    <w:p w:rsidR="00263A41" w:rsidRPr="00263A41" w:rsidRDefault="00263A41" w:rsidP="00263A41">
      <w:pPr>
        <w:pStyle w:val="Default"/>
        <w:spacing w:line="480" w:lineRule="auto"/>
        <w:ind w:firstLine="720"/>
      </w:pPr>
      <w:r w:rsidRPr="00263A41">
        <w:t>As pointed out earlier, the healthcare of people is one of the key aspects that determine the level of development in most nations across the globe. This is because most government budgets in many nations provide huge allocations to the healthcare sector compared to the entire expenditures accrued by the government. Further healthy people are also actively involved in many of the wealth creation activities in their respective nations. Hartford Institute for Geriatric Nursing is an example of a government initiative in the US to deal with healthcare issues in this nation. This institute offers training to people through a comprehensive curriculum on adult-gerontology adult care. There are various issues that affect the health of the older people including; Assessing cognition, delirium, depression, dementia mealtime difficulties ,Oral healthcare, sensory changes, urinary incontinence, sexuality, sleep, pain, substance abuse, nutrition in the elderly and mealtime difficulties oral healthcare (Gandhi, P. et al,  2011).</w:t>
      </w:r>
    </w:p>
    <w:p w:rsidR="00263A41" w:rsidRPr="00263A41" w:rsidRDefault="00263A41" w:rsidP="00263A41">
      <w:pPr>
        <w:pStyle w:val="Default"/>
        <w:spacing w:line="480" w:lineRule="auto"/>
        <w:ind w:firstLine="720"/>
      </w:pPr>
    </w:p>
    <w:p w:rsidR="00D80E29" w:rsidRDefault="00D80E29" w:rsidP="00263A41">
      <w:pPr>
        <w:pStyle w:val="Default"/>
        <w:spacing w:line="480" w:lineRule="auto"/>
        <w:ind w:firstLine="720"/>
      </w:pPr>
    </w:p>
    <w:p w:rsidR="00263A41" w:rsidRPr="00263A41" w:rsidRDefault="00263A41" w:rsidP="00D80E29">
      <w:pPr>
        <w:pStyle w:val="Default"/>
        <w:spacing w:line="480" w:lineRule="auto"/>
        <w:ind w:firstLine="720"/>
      </w:pPr>
      <w:r w:rsidRPr="00263A41">
        <w:t>Nutrition in the elderly is a very sensitive component of human healthcare. Additionally, it is a sensitive element of health in the elderly ultimately affecting the aging process. Older persons require very close attention on the type of foods they consume, this is because diseases suffered mostly by the elderly normally result from dietary factors and natural changes that occur with their aging process (Morley J.E., 2011). Further, this process of aging affects the nutrients needed by bodies of older persons. A substandard diet to the elderly is likely to result in various complications within their health systems. For instance, dietary fats have a close correlation to colon and prostate cancer. Factors such as increased levels of blood lipids, high levels of glucose in the body trigger the development of coronary heart disease among older people are significantly affected by the diets consumed by this group of people. Food insecurity among the poor seniors in the US has led to increased disability among the elderly consequently decreasing their resistance to infections.</w:t>
      </w:r>
    </w:p>
    <w:p w:rsidR="00263A41" w:rsidRPr="00263A41" w:rsidRDefault="00263A41" w:rsidP="00263A41">
      <w:pPr>
        <w:pStyle w:val="Default"/>
        <w:spacing w:line="480" w:lineRule="auto"/>
        <w:ind w:firstLine="720"/>
      </w:pPr>
      <w:r w:rsidRPr="00263A41">
        <w:t xml:space="preserve">Malnutrition Universal Screening is the tool commonly used in most modern clinical practice in the US. This tool helps the medics to identify the state of imbalance of nutrients that consequently results in adverse effects on the body. Malnutrition screening is fundamentally a simplified medical procedure, it uses validated nutritional screening tool and is designed to identify levels of malnutrition of the older people in the US. The screening consequently assists nutrition professional to effectively manage this defect in the elderly. </w:t>
      </w:r>
    </w:p>
    <w:p w:rsidR="00263A41" w:rsidRPr="00263A41" w:rsidRDefault="00263A41" w:rsidP="00D80E29">
      <w:pPr>
        <w:pStyle w:val="Default"/>
        <w:spacing w:line="480" w:lineRule="auto"/>
        <w:ind w:firstLine="720"/>
      </w:pPr>
      <w:r w:rsidRPr="00263A41">
        <w:t>Malnutrition Universal screening tool is a web-based tool that was developed in 2015 in the US to measure and assess practices relating to nutrition issues. The tool was designed in a manner supporting it to collect and process huge amounts of data from patients who visit the hospitals. This move was critical in determining the number affected by nutritionally related illnesses (</w:t>
      </w:r>
      <w:proofErr w:type="spellStart"/>
      <w:r w:rsidRPr="00263A41">
        <w:t>Deikman</w:t>
      </w:r>
      <w:proofErr w:type="spellEnd"/>
      <w:r w:rsidRPr="00263A41">
        <w:t xml:space="preserve"> et al, 2013). Further, patients who were diagnosed and found to have complications resulting from malnutrition received medical interventions from nutrition professionals including the administration of oral nutritional supplements. This tool is effective in identifying nutritional-related illnesses that affect the elderly through a continuous process consequently administering the appropriate medical interventions from nutrition professionals. </w:t>
      </w:r>
    </w:p>
    <w:p w:rsidR="00263A41" w:rsidRPr="00263A41" w:rsidRDefault="00263A41" w:rsidP="00263A41">
      <w:pPr>
        <w:pStyle w:val="Default"/>
        <w:spacing w:line="480" w:lineRule="auto"/>
        <w:ind w:firstLine="720"/>
      </w:pPr>
      <w:r w:rsidRPr="00263A41">
        <w:t>However, an alternative tool that assisted medics in screening malnutrition among the elderly was the Mini-Nutritional Assessment Short-Form used to identify the older persons who are malnourished helping the nutritional profession to address this problem. This tool is based on a questionnaire that consists of questions on food intake, mobility,</w:t>
      </w:r>
      <w:r>
        <w:t xml:space="preserve"> and weight loss</w:t>
      </w:r>
      <w:r w:rsidRPr="00263A41">
        <w:t>, presence of de</w:t>
      </w:r>
      <w:r>
        <w:t>mentia, psychological stress,</w:t>
      </w:r>
      <w:r w:rsidRPr="00263A41">
        <w:t xml:space="preserve"> body mass index</w:t>
      </w:r>
      <w:r>
        <w:t xml:space="preserve"> and depression</w:t>
      </w:r>
      <w:r w:rsidRPr="00263A41">
        <w:t xml:space="preserve"> (Kaiser et al 2009).</w:t>
      </w:r>
    </w:p>
    <w:p w:rsidR="00263A41" w:rsidRPr="00263A41" w:rsidRDefault="00263A41" w:rsidP="00263A41">
      <w:pPr>
        <w:pStyle w:val="Default"/>
        <w:spacing w:line="480" w:lineRule="auto"/>
        <w:ind w:firstLine="720"/>
      </w:pPr>
      <w:r w:rsidRPr="00263A41">
        <w:t xml:space="preserve">According to the American Psychiatric Association, depression is a mental disorder that affects the way people behave, feel, think or even impairment of one's occupational and social functioning. According to Steffens 2006, depression in older persons is associated with impaired function, increased medical mortality and incident dementia. Additionally, the World Health Organization points out depression as one of the most common of illnesses globally. Studies have not been successful to identify the fundamental causes of this state, but among the common factors associated with depression include; </w:t>
      </w:r>
      <w:proofErr w:type="spellStart"/>
      <w:r w:rsidRPr="00263A41">
        <w:t>genetical</w:t>
      </w:r>
      <w:proofErr w:type="spellEnd"/>
      <w:r w:rsidRPr="00263A41">
        <w:t>, environmental, biological and psychosocial factors (</w:t>
      </w:r>
      <w:proofErr w:type="spellStart"/>
      <w:r w:rsidRPr="00263A41">
        <w:t>Egede</w:t>
      </w:r>
      <w:proofErr w:type="spellEnd"/>
      <w:r w:rsidRPr="00263A41">
        <w:t>, L. E, 2004). Depression is also associated with various impacts on the elderly including; depressed mood, reduction on interest on activities, low appetite among other effects.</w:t>
      </w:r>
    </w:p>
    <w:p w:rsidR="00263A41" w:rsidRPr="00263A41" w:rsidRDefault="00263A41" w:rsidP="00263A41">
      <w:pPr>
        <w:pStyle w:val="Default"/>
        <w:spacing w:line="480" w:lineRule="auto"/>
        <w:ind w:firstLine="720"/>
      </w:pPr>
    </w:p>
    <w:p w:rsidR="00263A41" w:rsidRPr="00263A41" w:rsidRDefault="00263A41" w:rsidP="00D80E29">
      <w:pPr>
        <w:pStyle w:val="Default"/>
        <w:spacing w:line="480" w:lineRule="auto"/>
        <w:ind w:firstLine="720"/>
      </w:pPr>
      <w:r w:rsidRPr="00263A41">
        <w:t xml:space="preserve">Despite the widespread of mental health issues among the elderly in the US, many people remain with their disorders undiagnosed ultimately not getting the required medical attention to their mental complications especially depression. Regular screenings across all levels of healthcare settings have therefore been developed in the US to facilitate earlier identification of mental health disorders. The use of validated scales in the screening, diagnosis, and determining the level of medical response to therapy in depression is a fundamental component in providing appropriate medical care. These diagnostic tools are critical to the medics as they help in elevating their clinical suspicions, give reliable information to the patient on the state of their mental disorders and finally monitor their treatment outcomes. The symptom-based psychiatric rating scale is one of the common scales used in screening depression on the elderly in the US. </w:t>
      </w:r>
    </w:p>
    <w:p w:rsidR="00263A41" w:rsidRPr="00263A41" w:rsidRDefault="00263A41" w:rsidP="00263A41">
      <w:pPr>
        <w:pStyle w:val="Default"/>
        <w:spacing w:line="480" w:lineRule="auto"/>
        <w:ind w:firstLine="720"/>
      </w:pPr>
      <w:r w:rsidRPr="00263A41">
        <w:t>The most common tool used by medics in the screening of patients with mental disorders is the Patient Health Questionnaire (PHQ-9). Having a high degree of sensitivity and specificity in adults it is preferred when screening depression in the elderly. Additionally, the 15-item Geriatric Depression Scale is used as an efficient follow-up test in the screening. Once the screening gives a positive result for depression, medics conduct a further mental evaluation in order to justify whether the patient bears symptoms that require a diagnosis for the mental disorders (</w:t>
      </w:r>
      <w:proofErr w:type="spellStart"/>
      <w:r w:rsidRPr="00263A41">
        <w:t>Kroenke</w:t>
      </w:r>
      <w:proofErr w:type="spellEnd"/>
      <w:r w:rsidRPr="00263A41">
        <w:t xml:space="preserve"> et al, 2010). However, the PHQ 9 relies on patient self-assessment report and later verification by the clinician in order to give directions on the most appropriate diagnosis to be administered to the patients at hand.</w:t>
      </w:r>
    </w:p>
    <w:p w:rsidR="00263A41" w:rsidRDefault="00263A41" w:rsidP="00263A41">
      <w:pPr>
        <w:pStyle w:val="Default"/>
        <w:spacing w:line="480" w:lineRule="auto"/>
        <w:ind w:firstLine="720"/>
      </w:pPr>
      <w:r w:rsidRPr="00263A41">
        <w:t xml:space="preserve"> The Hamilton Depression Rating Scale (HAM-D) is another alternative screening tool that has been predominant in mental evaluations over the years in the US. Further, the scale was the oldest most widely used tool by most mental medics to perform their evaluation on the mental health of older people in this nation. The scale contained numerous versions that were clinical-rated, computer-administered as well as self-reported. However, the PHQ-9 remains to be the simplest and the most accurate model to diagnose most depression in the elderly population. This is because the model assists medic to effectively evaluate those patients who are unresponsive to any treatment given and </w:t>
      </w:r>
      <w:proofErr w:type="spellStart"/>
      <w:r w:rsidRPr="00263A41">
        <w:t>advice them</w:t>
      </w:r>
      <w:proofErr w:type="spellEnd"/>
      <w:r w:rsidRPr="00263A41">
        <w:t xml:space="preserve"> for further medical interventions in regard to their mental disorders.</w:t>
      </w:r>
    </w:p>
    <w:p w:rsidR="00263A41" w:rsidRPr="00263A41" w:rsidRDefault="00263A41" w:rsidP="00263A41">
      <w:pPr>
        <w:pStyle w:val="Default"/>
        <w:spacing w:line="480" w:lineRule="auto"/>
        <w:ind w:firstLine="720"/>
        <w:jc w:val="center"/>
      </w:pPr>
      <w:r w:rsidRPr="00263A41">
        <w:t>Conclusion</w:t>
      </w:r>
    </w:p>
    <w:p w:rsidR="00263A41" w:rsidRPr="00263A41" w:rsidRDefault="00263A41" w:rsidP="00263A41">
      <w:pPr>
        <w:pStyle w:val="Default"/>
        <w:spacing w:line="480" w:lineRule="auto"/>
        <w:ind w:firstLine="720"/>
      </w:pPr>
      <w:proofErr w:type="spellStart"/>
      <w:r w:rsidRPr="00263A41">
        <w:t>Summatively</w:t>
      </w:r>
      <w:proofErr w:type="spellEnd"/>
      <w:r w:rsidRPr="00263A41">
        <w:t>, the biological effects of aging have continually contributed to a significant increase of vulnerability of elderly people</w:t>
      </w:r>
      <w:r w:rsidR="00A61755">
        <w:t xml:space="preserve"> to physical and mental</w:t>
      </w:r>
      <w:r w:rsidRPr="00263A41">
        <w:t xml:space="preserve"> health across the globe. Further, the resistance of their bodies to infections is also reduced due to this aspect of aging. Additionally, the older population is at a threat for malnutrition due to social dietary, physiological, environmental and even psychological factors around them. There were tools that were used to help the medics in their efforts to address the problem of m</w:t>
      </w:r>
      <w:bookmarkStart w:id="0" w:name="_GoBack"/>
      <w:bookmarkEnd w:id="0"/>
      <w:r w:rsidRPr="00263A41">
        <w:t>alnutrition among the elderly population in the US. The most common of tools included the Malnutrition universal screening that was developed way back in 2015 as a web-based support system that helped medics to measure and assess practices relating to nutrition issues. Depression was another healthcare aspect affecting the elderly resulting in occupational or even social functioning of those suffering from the disorder. Further, medics have initiated mechanisms to mitigate this state of mental disorder through the use of both the PHQ-9 and the Hamid Depression Rating Scale.</w:t>
      </w:r>
    </w:p>
    <w:p w:rsidR="00263A41" w:rsidRDefault="00263A41" w:rsidP="00263A41">
      <w:pPr>
        <w:pStyle w:val="Default"/>
        <w:spacing w:line="480" w:lineRule="auto"/>
      </w:pPr>
    </w:p>
    <w:p w:rsidR="00D80E29" w:rsidRDefault="00D80E29" w:rsidP="00263A41">
      <w:pPr>
        <w:pStyle w:val="Default"/>
        <w:spacing w:line="480" w:lineRule="auto"/>
        <w:ind w:firstLine="720"/>
        <w:jc w:val="center"/>
      </w:pPr>
    </w:p>
    <w:p w:rsidR="00263A41" w:rsidRPr="00263A41" w:rsidRDefault="00263A41" w:rsidP="00263A41">
      <w:pPr>
        <w:pStyle w:val="Default"/>
        <w:spacing w:line="480" w:lineRule="auto"/>
        <w:ind w:firstLine="720"/>
        <w:jc w:val="center"/>
      </w:pPr>
      <w:r w:rsidRPr="00263A41">
        <w:t>References</w:t>
      </w:r>
    </w:p>
    <w:p w:rsidR="00263A41" w:rsidRPr="00263A41" w:rsidRDefault="00263A41" w:rsidP="00263A41">
      <w:pPr>
        <w:pStyle w:val="Default"/>
        <w:spacing w:line="480" w:lineRule="auto"/>
        <w:ind w:left="720" w:hanging="720"/>
      </w:pPr>
      <w:proofErr w:type="spellStart"/>
      <w:r w:rsidRPr="00263A41">
        <w:t>Diekmann</w:t>
      </w:r>
      <w:proofErr w:type="spellEnd"/>
      <w:r w:rsidRPr="00263A41">
        <w:t xml:space="preserve">, R., Winning, K., </w:t>
      </w:r>
      <w:proofErr w:type="spellStart"/>
      <w:r w:rsidRPr="00263A41">
        <w:t>Uter</w:t>
      </w:r>
      <w:proofErr w:type="spellEnd"/>
      <w:r w:rsidRPr="00263A41">
        <w:t xml:space="preserve">, W., Kaiser, M. J., </w:t>
      </w:r>
      <w:proofErr w:type="spellStart"/>
      <w:r w:rsidRPr="00263A41">
        <w:t>Sieber</w:t>
      </w:r>
      <w:proofErr w:type="spellEnd"/>
      <w:r w:rsidRPr="00263A41">
        <w:t xml:space="preserve">, C. C., </w:t>
      </w:r>
      <w:proofErr w:type="spellStart"/>
      <w:r w:rsidRPr="00263A41">
        <w:t>Volkert</w:t>
      </w:r>
      <w:proofErr w:type="spellEnd"/>
      <w:r w:rsidRPr="00263A41">
        <w:t xml:space="preserve">, D., &amp; Bauer, J. M. (2013). Screening for malnutrition among nursing home residents—a comparative analysis of the Mini Nutritional Assessment, the Nutritional Risk Screening, and the Malnutrition Universal Screening Tool. </w:t>
      </w:r>
      <w:proofErr w:type="gramStart"/>
      <w:r w:rsidRPr="00263A41">
        <w:t>The journal of nutrition, health &amp; aging, 17(4), 326-331.</w:t>
      </w:r>
      <w:proofErr w:type="gramEnd"/>
    </w:p>
    <w:p w:rsidR="00263A41" w:rsidRPr="00263A41" w:rsidRDefault="00263A41" w:rsidP="00263A41">
      <w:pPr>
        <w:pStyle w:val="Default"/>
        <w:spacing w:line="480" w:lineRule="auto"/>
        <w:ind w:left="720" w:hanging="720"/>
      </w:pPr>
      <w:proofErr w:type="spellStart"/>
      <w:r w:rsidRPr="00263A41">
        <w:t>Egede</w:t>
      </w:r>
      <w:proofErr w:type="spellEnd"/>
      <w:r w:rsidRPr="00263A41">
        <w:t xml:space="preserve">, L. E. (2004). </w:t>
      </w:r>
      <w:proofErr w:type="gramStart"/>
      <w:r w:rsidRPr="00263A41">
        <w:t>Diabetes, major depression, and functional disability among US adults.</w:t>
      </w:r>
      <w:proofErr w:type="gramEnd"/>
      <w:r w:rsidRPr="00263A41">
        <w:t xml:space="preserve"> Diabetes Care, 27(2), 421-428.</w:t>
      </w:r>
    </w:p>
    <w:p w:rsidR="00263A41" w:rsidRPr="00263A41" w:rsidRDefault="00263A41" w:rsidP="00263A41">
      <w:pPr>
        <w:pStyle w:val="Default"/>
        <w:spacing w:line="480" w:lineRule="auto"/>
        <w:ind w:left="720" w:hanging="720"/>
      </w:pPr>
      <w:proofErr w:type="gramStart"/>
      <w:r w:rsidRPr="00263A41">
        <w:t>Gandhi, P., Sharma, S., &amp; Gandhi, P. (2011).</w:t>
      </w:r>
      <w:proofErr w:type="gramEnd"/>
      <w:r w:rsidRPr="00263A41">
        <w:t xml:space="preserve"> </w:t>
      </w:r>
      <w:proofErr w:type="gramStart"/>
      <w:r w:rsidRPr="00263A41">
        <w:t>A Cross-Sectional Study of Common Health Problems of the Elderly.</w:t>
      </w:r>
      <w:proofErr w:type="gramEnd"/>
      <w:r w:rsidRPr="00263A41">
        <w:t xml:space="preserve"> Indian Journal </w:t>
      </w:r>
      <w:proofErr w:type="gramStart"/>
      <w:r w:rsidRPr="00263A41">
        <w:t>Of</w:t>
      </w:r>
      <w:proofErr w:type="gramEnd"/>
      <w:r w:rsidRPr="00263A41">
        <w:t xml:space="preserve"> Applied Research, 4(5), 509-511. </w:t>
      </w:r>
      <w:proofErr w:type="spellStart"/>
      <w:proofErr w:type="gramStart"/>
      <w:r w:rsidRPr="00263A41">
        <w:t>doi</w:t>
      </w:r>
      <w:proofErr w:type="spellEnd"/>
      <w:proofErr w:type="gramEnd"/>
      <w:r w:rsidRPr="00263A41">
        <w:t xml:space="preserve">: 10.15373/2249555x/may2014/159 </w:t>
      </w:r>
    </w:p>
    <w:p w:rsidR="00263A41" w:rsidRPr="00263A41" w:rsidRDefault="00263A41" w:rsidP="00263A41">
      <w:pPr>
        <w:pStyle w:val="Default"/>
        <w:spacing w:line="480" w:lineRule="auto"/>
        <w:ind w:left="720" w:hanging="720"/>
      </w:pPr>
      <w:r w:rsidRPr="00263A41">
        <w:t xml:space="preserve">Kaiser, M. J., Bauer, J. M., </w:t>
      </w:r>
      <w:proofErr w:type="spellStart"/>
      <w:r w:rsidRPr="00263A41">
        <w:t>Uter</w:t>
      </w:r>
      <w:proofErr w:type="spellEnd"/>
      <w:r w:rsidRPr="00263A41">
        <w:t xml:space="preserve">, W., </w:t>
      </w:r>
      <w:proofErr w:type="spellStart"/>
      <w:r w:rsidRPr="00263A41">
        <w:t>Donini</w:t>
      </w:r>
      <w:proofErr w:type="spellEnd"/>
      <w:r w:rsidRPr="00263A41">
        <w:t xml:space="preserve">, L. M., </w:t>
      </w:r>
      <w:proofErr w:type="spellStart"/>
      <w:r w:rsidRPr="00263A41">
        <w:t>Stange</w:t>
      </w:r>
      <w:proofErr w:type="spellEnd"/>
      <w:r w:rsidRPr="00263A41">
        <w:t xml:space="preserve">, I., </w:t>
      </w:r>
      <w:proofErr w:type="spellStart"/>
      <w:r w:rsidRPr="00263A41">
        <w:t>Volkert</w:t>
      </w:r>
      <w:proofErr w:type="spellEnd"/>
      <w:r w:rsidRPr="00263A41">
        <w:t>, D</w:t>
      </w:r>
      <w:proofErr w:type="gramStart"/>
      <w:r w:rsidRPr="00263A41">
        <w:t>., ...</w:t>
      </w:r>
      <w:proofErr w:type="gramEnd"/>
      <w:r w:rsidRPr="00263A41">
        <w:t xml:space="preserve"> &amp; Guerra, A. (2011). </w:t>
      </w:r>
      <w:proofErr w:type="gramStart"/>
      <w:r w:rsidRPr="00263A41">
        <w:t>Prospective validation of the modified mini nutritional assessment short</w:t>
      </w:r>
      <w:r w:rsidRPr="00263A41">
        <w:rPr>
          <w:rFonts w:asciiTheme="minorHAnsi" w:hAnsiTheme="minorHAnsi"/>
        </w:rPr>
        <w:t>‐</w:t>
      </w:r>
      <w:r w:rsidRPr="00263A41">
        <w:t>forms in the community, nursing home, and rehabilitation setting.</w:t>
      </w:r>
      <w:proofErr w:type="gramEnd"/>
      <w:r w:rsidRPr="00263A41">
        <w:t xml:space="preserve"> Journal of the American Geriatrics Society, 59(11), 2124-2128.</w:t>
      </w:r>
    </w:p>
    <w:p w:rsidR="00263A41" w:rsidRPr="00263A41" w:rsidRDefault="00263A41" w:rsidP="00263A41">
      <w:pPr>
        <w:pStyle w:val="Default"/>
        <w:spacing w:line="480" w:lineRule="auto"/>
        <w:ind w:left="720" w:hanging="720"/>
      </w:pPr>
      <w:proofErr w:type="spellStart"/>
      <w:proofErr w:type="gramStart"/>
      <w:r w:rsidRPr="00263A41">
        <w:t>Kroenke</w:t>
      </w:r>
      <w:proofErr w:type="spellEnd"/>
      <w:r w:rsidRPr="00263A41">
        <w:t xml:space="preserve">, K., Spitzer, R. L., Williams, J. B., &amp; </w:t>
      </w:r>
      <w:proofErr w:type="spellStart"/>
      <w:r w:rsidRPr="00263A41">
        <w:t>Löwe</w:t>
      </w:r>
      <w:proofErr w:type="spellEnd"/>
      <w:r w:rsidRPr="00263A41">
        <w:t>, B. (2010).</w:t>
      </w:r>
      <w:proofErr w:type="gramEnd"/>
      <w:r w:rsidRPr="00263A41">
        <w:t xml:space="preserve"> The patient health questionnaire somatic, anxiety, and depressive symptom scales: a systematic review. </w:t>
      </w:r>
      <w:proofErr w:type="gramStart"/>
      <w:r w:rsidRPr="00263A41">
        <w:t>General hospital psychiatry, 32(4), 345-359.</w:t>
      </w:r>
      <w:proofErr w:type="gramEnd"/>
    </w:p>
    <w:p w:rsidR="00263A41" w:rsidRPr="00263A41" w:rsidRDefault="00263A41" w:rsidP="00263A41">
      <w:pPr>
        <w:pStyle w:val="Default"/>
        <w:spacing w:line="480" w:lineRule="auto"/>
        <w:ind w:left="720" w:hanging="720"/>
      </w:pPr>
      <w:r w:rsidRPr="00263A41">
        <w:t xml:space="preserve">Morley, J. E. (2011). Assessment of malnutrition in older persons: a focus on the Mini Nutritional Assessment. </w:t>
      </w:r>
      <w:proofErr w:type="gramStart"/>
      <w:r w:rsidRPr="00263A41">
        <w:t>The journal of nutrition, health &amp; aging, 15(2), 87-90.</w:t>
      </w:r>
      <w:proofErr w:type="gramEnd"/>
    </w:p>
    <w:p w:rsidR="00263A41" w:rsidRPr="00263A41" w:rsidRDefault="00263A41" w:rsidP="00263A41">
      <w:pPr>
        <w:pStyle w:val="Default"/>
        <w:spacing w:line="480" w:lineRule="auto"/>
        <w:ind w:firstLine="720"/>
      </w:pPr>
    </w:p>
    <w:p w:rsidR="00263A41" w:rsidRPr="00263A41" w:rsidRDefault="00263A41" w:rsidP="00263A41">
      <w:pPr>
        <w:pStyle w:val="Default"/>
        <w:spacing w:line="480" w:lineRule="auto"/>
        <w:ind w:firstLine="720"/>
      </w:pPr>
    </w:p>
    <w:p w:rsidR="0008296F" w:rsidRPr="00263A41" w:rsidRDefault="0008296F" w:rsidP="00263A41">
      <w:pPr>
        <w:pStyle w:val="Default"/>
        <w:spacing w:line="480" w:lineRule="auto"/>
        <w:ind w:firstLine="720"/>
      </w:pPr>
    </w:p>
    <w:sectPr w:rsidR="0008296F" w:rsidRPr="00263A41" w:rsidSect="001A544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54F" w:rsidRDefault="00D0154F" w:rsidP="001A544F">
      <w:pPr>
        <w:spacing w:after="0" w:line="240" w:lineRule="auto"/>
      </w:pPr>
      <w:r>
        <w:separator/>
      </w:r>
    </w:p>
  </w:endnote>
  <w:endnote w:type="continuationSeparator" w:id="0">
    <w:p w:rsidR="00D0154F" w:rsidRDefault="00D0154F" w:rsidP="001A5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54F" w:rsidRDefault="00D0154F" w:rsidP="001A544F">
      <w:pPr>
        <w:spacing w:after="0" w:line="240" w:lineRule="auto"/>
      </w:pPr>
      <w:r>
        <w:separator/>
      </w:r>
    </w:p>
  </w:footnote>
  <w:footnote w:type="continuationSeparator" w:id="0">
    <w:p w:rsidR="00D0154F" w:rsidRDefault="00D0154F" w:rsidP="001A54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4906"/>
      <w:docPartObj>
        <w:docPartGallery w:val="Page Numbers (Top of Page)"/>
        <w:docPartUnique/>
      </w:docPartObj>
    </w:sdtPr>
    <w:sdtEndPr/>
    <w:sdtContent>
      <w:p w:rsidR="001A544F" w:rsidRDefault="00D0154F">
        <w:pPr>
          <w:pStyle w:val="Header"/>
          <w:jc w:val="right"/>
        </w:pPr>
        <w:r>
          <w:fldChar w:fldCharType="begin"/>
        </w:r>
        <w:r>
          <w:instrText xml:space="preserve"> PAGE   \* MERGEFORMAT </w:instrText>
        </w:r>
        <w:r>
          <w:fldChar w:fldCharType="separate"/>
        </w:r>
        <w:r w:rsidR="00A61755">
          <w:rPr>
            <w:noProof/>
          </w:rPr>
          <w:t>2</w:t>
        </w:r>
        <w:r>
          <w:rPr>
            <w:noProof/>
          </w:rPr>
          <w:fldChar w:fldCharType="end"/>
        </w:r>
      </w:p>
    </w:sdtContent>
  </w:sdt>
  <w:p w:rsidR="001A544F" w:rsidRPr="00263A41" w:rsidRDefault="00263A41" w:rsidP="00263A41">
    <w:pPr>
      <w:spacing w:line="480" w:lineRule="auto"/>
      <w:rPr>
        <w:rFonts w:ascii="Times New Roman" w:hAnsi="Times New Roman" w:cs="Times New Roman"/>
        <w:sz w:val="24"/>
        <w:szCs w:val="24"/>
      </w:rPr>
    </w:pPr>
    <w:r w:rsidRPr="00263A41">
      <w:rPr>
        <w:rFonts w:ascii="Times New Roman" w:hAnsi="Times New Roman" w:cs="Times New Roman"/>
        <w:sz w:val="24"/>
        <w:szCs w:val="24"/>
      </w:rPr>
      <w:t>Fundamental healthcare</w:t>
    </w:r>
    <w:r w:rsidR="001A544F" w:rsidRPr="00263A41">
      <w:rPr>
        <w:rFonts w:ascii="Times New Roman" w:hAnsi="Times New Roman" w:cs="Times New Roman"/>
        <w:sz w:val="24"/>
        <w:szCs w:val="24"/>
      </w:rPr>
      <w:t xml:space="preserve"> issues affecting elderly in the society</w:t>
    </w:r>
  </w:p>
  <w:p w:rsidR="001A544F" w:rsidRDefault="001A54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44F" w:rsidRPr="00E14970" w:rsidRDefault="001A544F" w:rsidP="001A544F">
    <w:pPr>
      <w:rPr>
        <w:rFonts w:cstheme="minorHAnsi"/>
      </w:rPr>
    </w:pPr>
    <w:r w:rsidRPr="00263A41">
      <w:rPr>
        <w:rFonts w:ascii="Times New Roman" w:hAnsi="Times New Roman" w:cs="Times New Roman"/>
        <w:sz w:val="24"/>
        <w:szCs w:val="24"/>
      </w:rPr>
      <w:t>Running head; Fundamental healthcare issues affecting elderly in the society</w:t>
    </w:r>
    <w:r>
      <w:rPr>
        <w:rFonts w:cstheme="minorHAnsi"/>
      </w:rPr>
      <w:t xml:space="preserve">                           </w:t>
    </w:r>
    <w:r w:rsidR="00263A41">
      <w:rPr>
        <w:rFonts w:cstheme="minorHAnsi"/>
      </w:rPr>
      <w:t xml:space="preserve">         1</w:t>
    </w:r>
    <w:r>
      <w:rPr>
        <w:rFonts w:cstheme="minorHAnsi"/>
      </w:rPr>
      <w:t xml:space="preserve">                                </w:t>
    </w:r>
  </w:p>
  <w:p w:rsidR="001A544F" w:rsidRDefault="001A54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D34E1"/>
    <w:rsid w:val="0002261E"/>
    <w:rsid w:val="00035371"/>
    <w:rsid w:val="0008296F"/>
    <w:rsid w:val="00086238"/>
    <w:rsid w:val="000B1346"/>
    <w:rsid w:val="000E1B95"/>
    <w:rsid w:val="000E5ED6"/>
    <w:rsid w:val="000F24F5"/>
    <w:rsid w:val="000F6762"/>
    <w:rsid w:val="00135120"/>
    <w:rsid w:val="00181CA7"/>
    <w:rsid w:val="0018362A"/>
    <w:rsid w:val="001A544F"/>
    <w:rsid w:val="001B4E72"/>
    <w:rsid w:val="00204660"/>
    <w:rsid w:val="002453FA"/>
    <w:rsid w:val="00263764"/>
    <w:rsid w:val="00263A41"/>
    <w:rsid w:val="002647A3"/>
    <w:rsid w:val="002A08AB"/>
    <w:rsid w:val="002D34E1"/>
    <w:rsid w:val="00303B8B"/>
    <w:rsid w:val="00326F18"/>
    <w:rsid w:val="003F69BC"/>
    <w:rsid w:val="0044670B"/>
    <w:rsid w:val="00453FA9"/>
    <w:rsid w:val="00502994"/>
    <w:rsid w:val="00503F6C"/>
    <w:rsid w:val="00532194"/>
    <w:rsid w:val="00587F12"/>
    <w:rsid w:val="005B2719"/>
    <w:rsid w:val="00617B4A"/>
    <w:rsid w:val="006B5758"/>
    <w:rsid w:val="0070156C"/>
    <w:rsid w:val="00785C37"/>
    <w:rsid w:val="007A5052"/>
    <w:rsid w:val="00800923"/>
    <w:rsid w:val="0080663F"/>
    <w:rsid w:val="008169BA"/>
    <w:rsid w:val="0081793E"/>
    <w:rsid w:val="00860F45"/>
    <w:rsid w:val="00884CDE"/>
    <w:rsid w:val="008A2846"/>
    <w:rsid w:val="008A30D2"/>
    <w:rsid w:val="009255B4"/>
    <w:rsid w:val="009C1A90"/>
    <w:rsid w:val="009F77E4"/>
    <w:rsid w:val="00A61755"/>
    <w:rsid w:val="00A75898"/>
    <w:rsid w:val="00AA5252"/>
    <w:rsid w:val="00AB08B4"/>
    <w:rsid w:val="00AD19BE"/>
    <w:rsid w:val="00B33D59"/>
    <w:rsid w:val="00B66788"/>
    <w:rsid w:val="00B800F7"/>
    <w:rsid w:val="00BC2E7E"/>
    <w:rsid w:val="00BE06A1"/>
    <w:rsid w:val="00BF3364"/>
    <w:rsid w:val="00C36B48"/>
    <w:rsid w:val="00C47E62"/>
    <w:rsid w:val="00C64E32"/>
    <w:rsid w:val="00CB291F"/>
    <w:rsid w:val="00D0154F"/>
    <w:rsid w:val="00D1256F"/>
    <w:rsid w:val="00D1412A"/>
    <w:rsid w:val="00D70E73"/>
    <w:rsid w:val="00D80E29"/>
    <w:rsid w:val="00D9382B"/>
    <w:rsid w:val="00DC6D6F"/>
    <w:rsid w:val="00E14970"/>
    <w:rsid w:val="00E21C54"/>
    <w:rsid w:val="00EB33A9"/>
    <w:rsid w:val="00EE5721"/>
    <w:rsid w:val="00F173AF"/>
    <w:rsid w:val="00F42B5E"/>
    <w:rsid w:val="00F5728A"/>
    <w:rsid w:val="00FB077C"/>
    <w:rsid w:val="00FC1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47E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2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829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C47E6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47E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47E62"/>
    <w:rPr>
      <w:color w:val="0000FF" w:themeColor="hyperlink"/>
      <w:u w:val="single"/>
    </w:rPr>
  </w:style>
  <w:style w:type="paragraph" w:styleId="Header">
    <w:name w:val="header"/>
    <w:basedOn w:val="Normal"/>
    <w:link w:val="HeaderChar"/>
    <w:uiPriority w:val="99"/>
    <w:unhideWhenUsed/>
    <w:rsid w:val="001A5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544F"/>
  </w:style>
  <w:style w:type="paragraph" w:styleId="Footer">
    <w:name w:val="footer"/>
    <w:basedOn w:val="Normal"/>
    <w:link w:val="FooterChar"/>
    <w:uiPriority w:val="99"/>
    <w:semiHidden/>
    <w:unhideWhenUsed/>
    <w:rsid w:val="001A54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54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08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FF23F-32AE-45D4-872C-4A624283B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2019-06-03T17:00:00Z</dcterms:created>
  <dcterms:modified xsi:type="dcterms:W3CDTF">2019-06-03T17:00:00Z</dcterms:modified>
</cp:coreProperties>
</file>